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D84C2C" w:rsidP="002775B4">
      <w:pPr>
        <w:pStyle w:val="nadpis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0" type="#_x0000_t201" style="position:absolute;left:0;text-align:left;margin-left:497.7pt;margin-top:601.2pt;width:57pt;height:45.15pt;z-index:251706368;mso-position-horizontal-relative:text;mso-position-vertical-relative:page" o:preferrelative="t" filled="f" stroked="f">
            <v:imagedata r:id="rId7" o:title=""/>
            <o:lock v:ext="edit" aspectratio="t"/>
            <w10:wrap anchory="page"/>
          </v:shape>
          <w:control r:id="rId8" w:name="TBarCode10212" w:shapeid="_x0000_s1070"/>
        </w:pict>
      </w:r>
      <w:r>
        <w:rPr>
          <w:noProof/>
        </w:rPr>
        <w:pict>
          <v:shape id="_x0000_s1069" type="#_x0000_t201" style="position:absolute;left:0;text-align:left;margin-left:193pt;margin-top:600.35pt;width:57pt;height:45.15pt;z-index:251705344;mso-position-horizontal-relative:text;mso-position-vertical-relative:page" o:preferrelative="t" filled="f" stroked="f">
            <v:imagedata r:id="rId9" o:title=""/>
            <o:lock v:ext="edit" aspectratio="t"/>
            <w10:wrap anchory="page"/>
          </v:shape>
          <w:control r:id="rId10" w:name="TBarCode10211" w:shapeid="_x0000_s1069"/>
        </w:pict>
      </w:r>
      <w:r>
        <w:rPr>
          <w:noProof/>
        </w:rPr>
        <w:pict>
          <v:shape id="_x0000_s1068" type="#_x0000_t201" style="position:absolute;left:0;text-align:left;margin-left:497.7pt;margin-top:175.35pt;width:57pt;height:45.15pt;z-index:251704320;mso-position-horizontal-relative:text;mso-position-vertical-relative:page" o:preferrelative="t" filled="f" stroked="f">
            <v:imagedata r:id="rId11" o:title=""/>
            <o:lock v:ext="edit" aspectratio="t"/>
            <w10:wrap anchory="page"/>
          </v:shape>
          <w:control r:id="rId12" w:name="TBarCode1021" w:shapeid="_x0000_s1068"/>
        </w:pict>
      </w:r>
      <w:r w:rsidR="004D7095" w:rsidRPr="004D7095">
        <w:rPr>
          <w:noProof/>
          <w:lang w:eastAsia="cs-CZ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8177530</wp:posOffset>
            </wp:positionV>
            <wp:extent cx="899795" cy="8997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05 - korozivní a žíravé látk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095" w:rsidRPr="004D7095">
        <w:rPr>
          <w:noProof/>
          <w:lang w:eastAsia="cs-CZ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8180600</wp:posOffset>
            </wp:positionV>
            <wp:extent cx="899795" cy="8997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05 - korozivní a žíravé látk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095">
        <w:rPr>
          <w:noProof/>
          <w:lang w:eastAsia="cs-CZ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3888748</wp:posOffset>
            </wp:positionH>
            <wp:positionV relativeFrom="paragraph">
              <wp:posOffset>2782235</wp:posOffset>
            </wp:positionV>
            <wp:extent cx="899795" cy="8997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05 - korozivní a žíravé látk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095">
        <w:rPr>
          <w:noProof/>
          <w:lang w:eastAsia="cs-CZ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2779925</wp:posOffset>
            </wp:positionV>
            <wp:extent cx="899795" cy="8997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05 - korozivní a žíravé látk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7" type="#_x0000_t201" style="position:absolute;left:0;text-align:left;margin-left:192.1pt;margin-top:175.8pt;width:57pt;height:45.15pt;z-index:251698176;mso-position-horizontal-relative:text;mso-position-vertical-relative:page" o:preferrelative="t" filled="f" stroked="f">
            <v:imagedata r:id="rId14" o:title=""/>
            <o:lock v:ext="edit" aspectratio="t"/>
            <w10:wrap anchory="page"/>
          </v:shape>
          <w:control r:id="rId15" w:name="TBarCode102" w:shapeid="_x0000_s1067"/>
        </w:pict>
      </w:r>
      <w:r>
        <w:rPr>
          <w:noProof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425.25pt;width:250.85pt;height:31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" stroked="f" strokecolor="black [3213]" strokeweight=".25pt">
            <v:textbox inset="0,0,0,0">
              <w:txbxContent>
                <w:sdt>
                  <w:sdtPr>
                    <w:id w:val="-1422870425"/>
                    <w:lock w:val="contentLocked"/>
                    <w:placeholder>
                      <w:docPart w:val="42F7AB76810E4973B136269408BBDE39"/>
                    </w:placeholder>
                    <w:group/>
                  </w:sdtPr>
                  <w:sdtEndPr>
                    <w:rPr>
                      <w:rFonts w:ascii="Franklin Gothic Book" w:hAnsi="Franklin Gothic Book" w:cs="Times New Roman"/>
                      <w:b w:val="0"/>
                      <w:bCs/>
                      <w:iCs w:val="0"/>
                      <w:caps w:val="0"/>
                      <w:spacing w:val="0"/>
                      <w:sz w:val="12"/>
                      <w:szCs w:val="12"/>
                    </w:rPr>
                  </w:sdtEndPr>
                  <w:sdtContent>
                    <w:p w:rsidR="00D84C2C" w:rsidRDefault="00D84C2C" w:rsidP="00D6413E">
                      <w:pPr>
                        <w:pStyle w:val="nadpis"/>
                      </w:pPr>
                      <w:r>
                        <w:t>Effergran</w:t>
                      </w:r>
                    </w:p>
                    <w:p w:rsidR="00D84C2C" w:rsidRPr="00E42D5D" w:rsidRDefault="00D84C2C" w:rsidP="00D6413E">
                      <w:pPr>
                        <w:pStyle w:val="podnadpis"/>
                      </w:pPr>
                      <w:r>
                        <w:t>antioxidant</w:t>
                      </w:r>
                    </w:p>
                    <w:p w:rsidR="00D84C2C" w:rsidRDefault="00D84C2C" w:rsidP="00D6413E">
                      <w:pPr>
                        <w:pStyle w:val="odstavec"/>
                      </w:pPr>
                      <w:r w:rsidRPr="006564BC">
                        <w:rPr>
                          <w:rFonts w:ascii="Franklin Gothic Demi" w:hAnsi="Franklin Gothic Demi"/>
                          <w:bCs/>
                        </w:rPr>
                        <w:t>Vlastnosti:</w:t>
                      </w:r>
                      <w:r w:rsidRPr="00E42D5D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Disiřičitan draselný 75 %, uhličitan draselný 25 %. Granulky s výrazným pachem po SO</w:t>
                      </w:r>
                      <w:r>
                        <w:rPr>
                          <w:rFonts w:eastAsia="Times New Roman" w:cs="Times New Roman"/>
                          <w:vertAlign w:val="subscript"/>
                        </w:rPr>
                        <w:t xml:space="preserve">2.. </w:t>
                      </w:r>
                      <w:r w:rsidRPr="000B4EDF">
                        <w:t xml:space="preserve">Používá se </w:t>
                      </w:r>
                      <w:r>
                        <w:t>k</w:t>
                      </w:r>
                      <w:r w:rsidRPr="000B4EDF">
                        <w:t xml:space="preserve"> ošetření </w:t>
                      </w:r>
                      <w:r>
                        <w:t>hroznů při sklizni během transportu, moštů a vína. Jako prevence proti oxidaci a kontaminaci divokou mikroflórou. Určeno pro přímou aplikaci. Množství přidaného uhličitanu draselného je zanedbatelné.</w:t>
                      </w:r>
                    </w:p>
                    <w:p w:rsidR="00D84C2C" w:rsidRDefault="00D84C2C" w:rsidP="00D6413E">
                      <w:pPr>
                        <w:pStyle w:val="odstavec"/>
                      </w:pPr>
                      <w:r w:rsidRPr="002A1883">
                        <w:rPr>
                          <w:rFonts w:ascii="Franklin Gothic Demi" w:hAnsi="Franklin Gothic Demi"/>
                        </w:rPr>
                        <w:t>Dávkování:</w:t>
                      </w:r>
                    </w:p>
                    <w:p w:rsidR="00D84C2C" w:rsidRDefault="00D84C2C" w:rsidP="00D6413E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10 g EFFERGRANU poskytuje 4 g SO</w:t>
                      </w:r>
                      <w:r w:rsidRPr="00D84C2C">
                        <w:rPr>
                          <w:vertAlign w:val="subscript"/>
                        </w:rPr>
                        <w:t xml:space="preserve">2 </w:t>
                      </w:r>
                      <w:r>
                        <w:t>/ 1000 l</w:t>
                      </w:r>
                    </w:p>
                    <w:p w:rsidR="00D84C2C" w:rsidRDefault="00D84C2C" w:rsidP="00D6413E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125 g / 5000 kg hroznů</w:t>
                      </w:r>
                    </w:p>
                    <w:p w:rsidR="00D84C2C" w:rsidRDefault="00D84C2C" w:rsidP="00D6413E">
                      <w:pPr>
                        <w:pStyle w:val="odstavec"/>
                        <w:rPr>
                          <w:rFonts w:ascii="Franklin Gothic Demi" w:eastAsia="Times New Roman" w:hAnsi="Franklin Gothic Demi" w:cs="Times New Roman"/>
                        </w:rPr>
                      </w:pPr>
                      <w:r w:rsidRPr="002A1883">
                        <w:rPr>
                          <w:rFonts w:ascii="Franklin Gothic Demi" w:hAnsi="Franklin Gothic Demi"/>
                          <w:bCs/>
                        </w:rPr>
                        <w:t>Skladování:</w:t>
                      </w:r>
                      <w:r w:rsidRPr="002A18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uzavřené balení s</w:t>
                      </w:r>
                      <w:r>
                        <w:t>kladujete na suchém, dobře větraném místě. Otevřené balení spotřebujte během jednoho dne.</w:t>
                      </w:r>
                      <w:r w:rsidRPr="009B5489">
                        <w:rPr>
                          <w:rFonts w:ascii="Franklin Gothic Demi" w:eastAsia="Times New Roman" w:hAnsi="Franklin Gothic Demi" w:cs="Times New Roman"/>
                        </w:rPr>
                        <w:t xml:space="preserve"> </w:t>
                      </w:r>
                    </w:p>
                    <w:p w:rsidR="00D84C2C" w:rsidRPr="000B1756" w:rsidRDefault="00D84C2C" w:rsidP="00D6413E">
                      <w:pPr>
                        <w:pStyle w:val="odstavec"/>
                      </w:pPr>
                      <w:r w:rsidRPr="000B1756">
                        <w:rPr>
                          <w:rFonts w:ascii="Franklin Gothic Demi" w:eastAsia="Times New Roman" w:hAnsi="Franklin Gothic Demi" w:cs="Times New Roman"/>
                        </w:rPr>
                        <w:t>Poradenská služba:</w:t>
                      </w:r>
                      <w:r w:rsidRPr="000B1756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0B1756">
                        <w:t xml:space="preserve">prodejce  </w:t>
                      </w:r>
                      <w:r>
                        <w:t xml:space="preserve">+420 </w:t>
                      </w:r>
                      <w:r w:rsidRPr="000B1756">
                        <w:t>519 346 236/8</w:t>
                      </w:r>
                    </w:p>
                    <w:p w:rsidR="00D84C2C" w:rsidRPr="00D84C2C" w:rsidRDefault="00D84C2C" w:rsidP="00D6413E">
                      <w:pPr>
                        <w:pStyle w:val="odstavec"/>
                        <w:rPr>
                          <w:bCs/>
                          <w:szCs w:val="16"/>
                        </w:rPr>
                      </w:pPr>
                      <w:r w:rsidRPr="00D84C2C">
                        <w:rPr>
                          <w:rFonts w:ascii="Franklin Gothic Demi" w:hAnsi="Franklin Gothic Demi"/>
                          <w:bCs/>
                          <w:szCs w:val="16"/>
                        </w:rPr>
                        <w:t>Balení:</w:t>
                      </w:r>
                      <w:r w:rsidRPr="00D84C2C">
                        <w:rPr>
                          <w:bCs/>
                          <w:szCs w:val="16"/>
                        </w:rPr>
                        <w:t xml:space="preserve">   125 g </w:t>
                      </w:r>
                      <w:r w:rsidRPr="00D84C2C">
                        <w:rPr>
                          <w:bCs/>
                          <w:szCs w:val="16"/>
                        </w:rPr>
                        <w:sym w:font="Symbol" w:char="F0B1"/>
                      </w:r>
                      <w:r w:rsidRPr="00D84C2C">
                        <w:rPr>
                          <w:bCs/>
                          <w:szCs w:val="16"/>
                        </w:rPr>
                        <w:t xml:space="preserve">  5 %</w:t>
                      </w:r>
                    </w:p>
                    <w:p w:rsidR="00D84C2C" w:rsidRPr="00D84C2C" w:rsidRDefault="00D84C2C" w:rsidP="00D6413E">
                      <w:pPr>
                        <w:pStyle w:val="odstavec10"/>
                        <w:tabs>
                          <w:tab w:val="right" w:pos="4990"/>
                        </w:tabs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D84C2C">
                        <w:rPr>
                          <w:rFonts w:ascii="Franklin Gothic Demi" w:eastAsia="Times New Roman" w:hAnsi="Franklin Gothic Demi"/>
                          <w:sz w:val="16"/>
                          <w:szCs w:val="16"/>
                        </w:rPr>
                        <w:t>Spotřebujte do:</w:t>
                      </w:r>
                      <w:r w:rsidRPr="00D84C2C">
                        <w:rPr>
                          <w:rFonts w:eastAsia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z w:val="16"/>
                            <w:szCs w:val="16"/>
                          </w:rPr>
                          <w:alias w:val="Datum"/>
                          <w:tag w:val=""/>
                          <w:id w:val="-1393808103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D84C2C" w:rsidRDefault="00D84C2C" w:rsidP="00D6413E">
                      <w:pPr>
                        <w:pStyle w:val="odstavec"/>
                        <w:rPr>
                          <w:bCs/>
                        </w:rPr>
                      </w:pPr>
                      <w:r w:rsidRPr="00E74E8B">
                        <w:rPr>
                          <w:rFonts w:ascii="Franklin Gothic Demi" w:hAnsi="Franklin Gothic Demi"/>
                          <w:bCs/>
                        </w:rPr>
                        <w:t>Distributor:</w:t>
                      </w:r>
                      <w:r w:rsidRPr="009C6141">
                        <w:rPr>
                          <w:bCs/>
                        </w:rPr>
                        <w:t xml:space="preserve"> </w:t>
                      </w:r>
                      <w:r>
                        <w:t>BS VINAŘSKÉ POTŘEBY s.r.o.</w:t>
                      </w:r>
                    </w:p>
                    <w:p w:rsidR="00D84C2C" w:rsidRPr="00455AD2" w:rsidRDefault="00D84C2C" w:rsidP="00D6413E">
                      <w:pPr>
                        <w:ind w:left="1560"/>
                        <w:jc w:val="both"/>
                        <w:rPr>
                          <w:sz w:val="13"/>
                          <w:szCs w:val="13"/>
                        </w:rPr>
                      </w:pPr>
                      <w:r w:rsidRPr="004D7095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t>Nebezpečné látky: disiřičitan didraselný. NEBEZPEČÍ.</w:t>
                      </w:r>
                      <w:r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Pr="00BC442B">
                        <w:rPr>
                          <w:rFonts w:ascii="Franklin Gothic Book" w:eastAsia="Times New Roman" w:hAnsi="Franklin Gothic Book" w:cs="Times New Roman"/>
                          <w:bCs/>
                          <w:sz w:val="12"/>
                          <w:szCs w:val="12"/>
                        </w:rPr>
                        <w:t>H318 Způsobuje vážné poškození očí. EUH031 Uvolňuje toxický plyn při styku s kyselinami. P101 Je-li nutná lékařská pomoc, mějte po ruce obal nebo štítek výrobku. P102 Uchovávejte mimo dosah dětí. P280 Používejte ochranné brýle. P305 + P351 + P338 PŘI ZASAŽENÍ OČÍ: Několik minut opatrně vyplachujte vodou. Vyjměte kontaktní čočky, jsou-li nasazeny a pokud je lze vyjmout snadno. Pokračujte ve vyplachování. P310 Okamžitě volejte TOXIKOLOGICKÉ INFORMAČNÍ STŘEDISKO (224 919 293; 224 915 402)/lékaře. P501 Odstraňte obsah odevzdáním ve sběrně nebezpečného odpadu. Prázdný vyčištěný obal odložit do tříděného nebo komunálního odpadu.</w:t>
                      </w:r>
                    </w:p>
                  </w:sdtContent>
                </w:sdt>
                <w:p w:rsidR="00455AD2" w:rsidRPr="00312421" w:rsidRDefault="00455AD2" w:rsidP="00312421"/>
              </w:txbxContent>
            </v:textbox>
            <w10:wrap anchorx="margin" anchory="margin"/>
          </v:shape>
        </w:pict>
      </w:r>
      <w:r>
        <w:rPr>
          <w:noProof/>
          <w:lang w:eastAsia="cs-CZ" w:bidi="ar-SA"/>
        </w:rPr>
        <w:pict>
          <v:shape id="Text Box 5" o:spid="_x0000_s1027" type="#_x0000_t202" style="position:absolute;left:0;text-align:left;margin-left:610.15pt;margin-top:425.25pt;width:250.85pt;height:311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" stroked="f" strokecolor="black [3213]" strokeweight=".25pt">
            <v:textbox inset="0,0,0,0">
              <w:txbxContent>
                <w:sdt>
                  <w:sdtPr>
                    <w:id w:val="-509446114"/>
                    <w:lock w:val="contentLocked"/>
                    <w:placeholder>
                      <w:docPart w:val="31D5337448B148898CFE487C89BA69F5"/>
                    </w:placeholder>
                    <w:group/>
                  </w:sdtPr>
                  <w:sdtEndPr>
                    <w:rPr>
                      <w:rFonts w:ascii="Franklin Gothic Book" w:hAnsi="Franklin Gothic Book" w:cs="Times New Roman"/>
                      <w:b w:val="0"/>
                      <w:bCs/>
                      <w:iCs w:val="0"/>
                      <w:caps w:val="0"/>
                      <w:spacing w:val="0"/>
                      <w:sz w:val="12"/>
                      <w:szCs w:val="12"/>
                    </w:rPr>
                  </w:sdtEndPr>
                  <w:sdtContent>
                    <w:p w:rsidR="00D84C2C" w:rsidRDefault="00D84C2C" w:rsidP="00D6413E">
                      <w:pPr>
                        <w:pStyle w:val="nadpis"/>
                      </w:pPr>
                      <w:r>
                        <w:t>Effergran</w:t>
                      </w:r>
                    </w:p>
                    <w:p w:rsidR="00D84C2C" w:rsidRPr="00E42D5D" w:rsidRDefault="00D84C2C" w:rsidP="00D6413E">
                      <w:pPr>
                        <w:pStyle w:val="podnadpis"/>
                      </w:pPr>
                      <w:r>
                        <w:t>antioxidant</w:t>
                      </w:r>
                    </w:p>
                    <w:p w:rsidR="00D84C2C" w:rsidRDefault="00D84C2C" w:rsidP="00D6413E">
                      <w:pPr>
                        <w:pStyle w:val="odstavec"/>
                      </w:pPr>
                      <w:r w:rsidRPr="006564BC">
                        <w:rPr>
                          <w:rFonts w:ascii="Franklin Gothic Demi" w:hAnsi="Franklin Gothic Demi"/>
                          <w:bCs/>
                        </w:rPr>
                        <w:t>Vlastnosti:</w:t>
                      </w:r>
                      <w:r w:rsidRPr="00E42D5D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Disiřičitan draselný 75 %, uhličitan draselný 25 %. Granulky s výrazným pachem po SO</w:t>
                      </w:r>
                      <w:r>
                        <w:rPr>
                          <w:rFonts w:eastAsia="Times New Roman" w:cs="Times New Roman"/>
                          <w:vertAlign w:val="subscript"/>
                        </w:rPr>
                        <w:t xml:space="preserve">2.. </w:t>
                      </w:r>
                      <w:r w:rsidRPr="000B4EDF">
                        <w:t xml:space="preserve">Používá se </w:t>
                      </w:r>
                      <w:r>
                        <w:t>k</w:t>
                      </w:r>
                      <w:r w:rsidRPr="000B4EDF">
                        <w:t xml:space="preserve"> ošetření </w:t>
                      </w:r>
                      <w:r>
                        <w:t>hroznů při sklizni během transportu, moštů a vína. Jako prevence proti oxidaci a kontaminaci divokou mikroflórou. Určeno pro přímou aplikaci. Množství přidaného uhličitanu draselného je zanedbatelné.</w:t>
                      </w:r>
                    </w:p>
                    <w:p w:rsidR="00D84C2C" w:rsidRDefault="00D84C2C" w:rsidP="00D6413E">
                      <w:pPr>
                        <w:pStyle w:val="odstavec"/>
                      </w:pPr>
                      <w:r w:rsidRPr="002A1883">
                        <w:rPr>
                          <w:rFonts w:ascii="Franklin Gothic Demi" w:hAnsi="Franklin Gothic Demi"/>
                        </w:rPr>
                        <w:t>Dávkování:</w:t>
                      </w:r>
                    </w:p>
                    <w:p w:rsidR="00D84C2C" w:rsidRDefault="00D84C2C" w:rsidP="00D6413E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10 g EFFERGRANU poskytuje 4 g SO</w:t>
                      </w:r>
                      <w:r w:rsidRPr="00D84C2C">
                        <w:rPr>
                          <w:vertAlign w:val="subscript"/>
                        </w:rPr>
                        <w:t xml:space="preserve">2 </w:t>
                      </w:r>
                      <w:r>
                        <w:t>/ 1000 l</w:t>
                      </w:r>
                    </w:p>
                    <w:p w:rsidR="00D84C2C" w:rsidRDefault="00D84C2C" w:rsidP="00D6413E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125 g / 5000 kg hroznů</w:t>
                      </w:r>
                    </w:p>
                    <w:p w:rsidR="00D84C2C" w:rsidRDefault="00D84C2C" w:rsidP="00D6413E">
                      <w:pPr>
                        <w:pStyle w:val="odstavec"/>
                        <w:rPr>
                          <w:rFonts w:ascii="Franklin Gothic Demi" w:eastAsia="Times New Roman" w:hAnsi="Franklin Gothic Demi" w:cs="Times New Roman"/>
                        </w:rPr>
                      </w:pPr>
                      <w:r w:rsidRPr="002A1883">
                        <w:rPr>
                          <w:rFonts w:ascii="Franklin Gothic Demi" w:hAnsi="Franklin Gothic Demi"/>
                          <w:bCs/>
                        </w:rPr>
                        <w:t>Skladování:</w:t>
                      </w:r>
                      <w:r w:rsidRPr="002A18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uzavřené balení s</w:t>
                      </w:r>
                      <w:r>
                        <w:t>kladujete na suchém, dobře větraném místě. Otevřené balení spotřebujte během jednoho dne.</w:t>
                      </w:r>
                      <w:r w:rsidRPr="009B5489">
                        <w:rPr>
                          <w:rFonts w:ascii="Franklin Gothic Demi" w:eastAsia="Times New Roman" w:hAnsi="Franklin Gothic Demi" w:cs="Times New Roman"/>
                        </w:rPr>
                        <w:t xml:space="preserve"> </w:t>
                      </w:r>
                    </w:p>
                    <w:p w:rsidR="00D84C2C" w:rsidRPr="000B1756" w:rsidRDefault="00D84C2C" w:rsidP="00D6413E">
                      <w:pPr>
                        <w:pStyle w:val="odstavec"/>
                      </w:pPr>
                      <w:r w:rsidRPr="000B1756">
                        <w:rPr>
                          <w:rFonts w:ascii="Franklin Gothic Demi" w:eastAsia="Times New Roman" w:hAnsi="Franklin Gothic Demi" w:cs="Times New Roman"/>
                        </w:rPr>
                        <w:t>Poradenská služba:</w:t>
                      </w:r>
                      <w:r w:rsidRPr="000B1756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0B1756">
                        <w:t xml:space="preserve">prodejce  </w:t>
                      </w:r>
                      <w:r>
                        <w:t xml:space="preserve">+420 </w:t>
                      </w:r>
                      <w:r w:rsidRPr="000B1756">
                        <w:t>519 346 236/8</w:t>
                      </w:r>
                    </w:p>
                    <w:p w:rsidR="00D84C2C" w:rsidRPr="00D84C2C" w:rsidRDefault="00D84C2C" w:rsidP="00D6413E">
                      <w:pPr>
                        <w:pStyle w:val="odstavec"/>
                        <w:rPr>
                          <w:bCs/>
                          <w:szCs w:val="16"/>
                        </w:rPr>
                      </w:pPr>
                      <w:r w:rsidRPr="00D84C2C">
                        <w:rPr>
                          <w:rFonts w:ascii="Franklin Gothic Demi" w:hAnsi="Franklin Gothic Demi"/>
                          <w:bCs/>
                          <w:szCs w:val="16"/>
                        </w:rPr>
                        <w:t>Balení:</w:t>
                      </w:r>
                      <w:r w:rsidRPr="00D84C2C">
                        <w:rPr>
                          <w:bCs/>
                          <w:szCs w:val="16"/>
                        </w:rPr>
                        <w:t xml:space="preserve">   125 g </w:t>
                      </w:r>
                      <w:r w:rsidRPr="00D84C2C">
                        <w:rPr>
                          <w:bCs/>
                          <w:szCs w:val="16"/>
                        </w:rPr>
                        <w:sym w:font="Symbol" w:char="F0B1"/>
                      </w:r>
                      <w:r w:rsidRPr="00D84C2C">
                        <w:rPr>
                          <w:bCs/>
                          <w:szCs w:val="16"/>
                        </w:rPr>
                        <w:t xml:space="preserve">  5 %</w:t>
                      </w:r>
                    </w:p>
                    <w:p w:rsidR="00D84C2C" w:rsidRPr="00D84C2C" w:rsidRDefault="00D84C2C" w:rsidP="00D6413E">
                      <w:pPr>
                        <w:pStyle w:val="odstavec10"/>
                        <w:tabs>
                          <w:tab w:val="right" w:pos="4990"/>
                        </w:tabs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D84C2C">
                        <w:rPr>
                          <w:rFonts w:ascii="Franklin Gothic Demi" w:eastAsia="Times New Roman" w:hAnsi="Franklin Gothic Demi"/>
                          <w:sz w:val="16"/>
                          <w:szCs w:val="16"/>
                        </w:rPr>
                        <w:t>Spotřebujte do:</w:t>
                      </w:r>
                      <w:r w:rsidRPr="00D84C2C">
                        <w:rPr>
                          <w:rFonts w:eastAsia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z w:val="16"/>
                            <w:szCs w:val="16"/>
                          </w:rPr>
                          <w:alias w:val="Datum"/>
                          <w:tag w:val=""/>
                          <w:id w:val="1613858250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D84C2C" w:rsidRDefault="00D84C2C" w:rsidP="00D6413E">
                      <w:pPr>
                        <w:pStyle w:val="odstavec"/>
                        <w:rPr>
                          <w:bCs/>
                        </w:rPr>
                      </w:pPr>
                      <w:r w:rsidRPr="00E74E8B">
                        <w:rPr>
                          <w:rFonts w:ascii="Franklin Gothic Demi" w:hAnsi="Franklin Gothic Demi"/>
                          <w:bCs/>
                        </w:rPr>
                        <w:t>Distributor:</w:t>
                      </w:r>
                      <w:r w:rsidRPr="009C6141">
                        <w:rPr>
                          <w:bCs/>
                        </w:rPr>
                        <w:t xml:space="preserve"> </w:t>
                      </w:r>
                      <w:r>
                        <w:t>BS VINAŘSKÉ POTŘEBY s.r.o.</w:t>
                      </w:r>
                    </w:p>
                    <w:p w:rsidR="00D84C2C" w:rsidRPr="00455AD2" w:rsidRDefault="00D84C2C" w:rsidP="00D6413E">
                      <w:pPr>
                        <w:ind w:left="1560"/>
                        <w:jc w:val="both"/>
                        <w:rPr>
                          <w:sz w:val="13"/>
                          <w:szCs w:val="13"/>
                        </w:rPr>
                      </w:pPr>
                      <w:r w:rsidRPr="004D7095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t>Nebezpečné látky: disiřičitan didraselný. NEBEZPEČÍ.</w:t>
                      </w:r>
                      <w:r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Pr="00BC442B">
                        <w:rPr>
                          <w:rFonts w:ascii="Franklin Gothic Book" w:eastAsia="Times New Roman" w:hAnsi="Franklin Gothic Book" w:cs="Times New Roman"/>
                          <w:bCs/>
                          <w:sz w:val="12"/>
                          <w:szCs w:val="12"/>
                        </w:rPr>
                        <w:t>H318 Způsobuje vážné poškození očí. EUH031 Uvolňuje toxický plyn při styku s kyselinami. P101 Je-li nutná lékařská pomoc, mějte po ruce obal nebo štítek výrobku. P102 Uchovávejte mimo dosah dětí. P280 Používejte ochranné brýle. P305 + P351 + P338 PŘI ZASAŽENÍ OČÍ: Několik minut opatrně vyplachujte vodou. Vyjměte kontaktní čočky, jsou-li nasazeny a pokud je lze vyjmout snadno. Pokračujte ve vyplachování. P310 Okamžitě volejte TOXIKOLOGICKÉ INFORMAČNÍ STŘEDISKO (224 919 293; 224 915 402)/lékaře. P501 Odstraňte obsah odevzdáním ve sběrně nebezpečného odpadu. Prázdný vyčištěný obal odložit do tříděného nebo komunálního odpadu.</w:t>
                      </w:r>
                    </w:p>
                  </w:sdtContent>
                </w:sdt>
                <w:p w:rsidR="00455AD2" w:rsidRPr="00312421" w:rsidRDefault="00455AD2" w:rsidP="00312421">
                  <w:bookmarkStart w:id="0" w:name="_GoBack"/>
                  <w:bookmarkEnd w:id="0"/>
                </w:p>
              </w:txbxContent>
            </v:textbox>
            <w10:wrap anchorx="margin" anchory="margin"/>
          </v:shape>
        </w:pict>
      </w:r>
      <w:r>
        <w:rPr>
          <w:noProof/>
          <w:lang w:eastAsia="cs-CZ" w:bidi="ar-SA"/>
        </w:rPr>
        <w:pict>
          <v:shape id="Text Box 3" o:spid="_x0000_s1028" type="#_x0000_t202" style="position:absolute;left:0;text-align:left;margin-left:610.15pt;margin-top:0;width:250.85pt;height:31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Pq3UbpsCAAA/BQAADgAAAAAAAAAAAAAAAAAuAgAAZHJzL2Uyb0Rv&#10;Yy54bWxQSwECLQAUAAYACAAAACEAxqgOqNsAAAAFAQAADwAAAAAAAAAAAAAAAAD1BAAAZHJzL2Rv&#10;d25yZXYueG1sUEsFBgAAAAAEAAQA8wAAAP0FAAAAAA==&#10;" stroked="f" strokecolor="black [3213]" strokeweight=".25pt">
            <v:textbox inset="0,0,0,0">
              <w:txbxContent>
                <w:sdt>
                  <w:sdtPr>
                    <w:id w:val="-1002658735"/>
                    <w:lock w:val="contentLocked"/>
                    <w:placeholder>
                      <w:docPart w:val="970B9B05DE3F4B52AA7082CB068792F5"/>
                    </w:placeholder>
                    <w:group/>
                  </w:sdtPr>
                  <w:sdtEndPr>
                    <w:rPr>
                      <w:rFonts w:ascii="Franklin Gothic Book" w:hAnsi="Franklin Gothic Book" w:cs="Times New Roman"/>
                      <w:b w:val="0"/>
                      <w:bCs/>
                      <w:iCs w:val="0"/>
                      <w:caps w:val="0"/>
                      <w:spacing w:val="0"/>
                      <w:sz w:val="12"/>
                      <w:szCs w:val="12"/>
                    </w:rPr>
                  </w:sdtEndPr>
                  <w:sdtContent>
                    <w:p w:rsidR="00D84C2C" w:rsidRDefault="00D84C2C" w:rsidP="00D6413E">
                      <w:pPr>
                        <w:pStyle w:val="nadpis"/>
                      </w:pPr>
                      <w:r>
                        <w:t>Effergran</w:t>
                      </w:r>
                    </w:p>
                    <w:p w:rsidR="00D84C2C" w:rsidRPr="00E42D5D" w:rsidRDefault="00D84C2C" w:rsidP="00D6413E">
                      <w:pPr>
                        <w:pStyle w:val="podnadpis"/>
                      </w:pPr>
                      <w:r>
                        <w:t>antioxidant</w:t>
                      </w:r>
                    </w:p>
                    <w:p w:rsidR="00D84C2C" w:rsidRDefault="00D84C2C" w:rsidP="00D6413E">
                      <w:pPr>
                        <w:pStyle w:val="odstavec"/>
                      </w:pPr>
                      <w:r w:rsidRPr="006564BC">
                        <w:rPr>
                          <w:rFonts w:ascii="Franklin Gothic Demi" w:hAnsi="Franklin Gothic Demi"/>
                          <w:bCs/>
                        </w:rPr>
                        <w:t>Vlastnosti:</w:t>
                      </w:r>
                      <w:r w:rsidRPr="00E42D5D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Disiřičitan draselný 75 %, uhličitan draselný 25 %. Granulky s výrazným pachem po SO</w:t>
                      </w:r>
                      <w:r>
                        <w:rPr>
                          <w:rFonts w:eastAsia="Times New Roman" w:cs="Times New Roman"/>
                          <w:vertAlign w:val="subscript"/>
                        </w:rPr>
                        <w:t xml:space="preserve">2.. </w:t>
                      </w:r>
                      <w:r w:rsidRPr="000B4EDF">
                        <w:t xml:space="preserve">Používá se </w:t>
                      </w:r>
                      <w:r>
                        <w:t>k</w:t>
                      </w:r>
                      <w:r w:rsidRPr="000B4EDF">
                        <w:t xml:space="preserve"> ošetření </w:t>
                      </w:r>
                      <w:r>
                        <w:t>hroznů při sklizni během transportu, moštů a vína. Jako prevence proti oxidaci a kontaminaci divokou mikroflórou. Určeno pro přímou aplikaci. Množství přidaného uhličitanu draselného je zanedbatelné.</w:t>
                      </w:r>
                    </w:p>
                    <w:p w:rsidR="00D84C2C" w:rsidRDefault="00D84C2C" w:rsidP="00D6413E">
                      <w:pPr>
                        <w:pStyle w:val="odstavec"/>
                      </w:pPr>
                      <w:r w:rsidRPr="002A1883">
                        <w:rPr>
                          <w:rFonts w:ascii="Franklin Gothic Demi" w:hAnsi="Franklin Gothic Demi"/>
                        </w:rPr>
                        <w:t>Dávkování:</w:t>
                      </w:r>
                    </w:p>
                    <w:p w:rsidR="00D84C2C" w:rsidRDefault="00D84C2C" w:rsidP="00D6413E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10 g EFFERGRANU poskytuje 4 g SO</w:t>
                      </w:r>
                      <w:r w:rsidRPr="00D84C2C">
                        <w:rPr>
                          <w:vertAlign w:val="subscript"/>
                        </w:rPr>
                        <w:t xml:space="preserve">2 </w:t>
                      </w:r>
                      <w:r>
                        <w:t>/ 1000 l</w:t>
                      </w:r>
                    </w:p>
                    <w:p w:rsidR="00D84C2C" w:rsidRDefault="00D84C2C" w:rsidP="00D6413E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125 g / 5000 kg hroznů</w:t>
                      </w:r>
                    </w:p>
                    <w:p w:rsidR="00D84C2C" w:rsidRDefault="00D84C2C" w:rsidP="00D6413E">
                      <w:pPr>
                        <w:pStyle w:val="odstavec"/>
                        <w:rPr>
                          <w:rFonts w:ascii="Franklin Gothic Demi" w:eastAsia="Times New Roman" w:hAnsi="Franklin Gothic Demi" w:cs="Times New Roman"/>
                        </w:rPr>
                      </w:pPr>
                      <w:r w:rsidRPr="002A1883">
                        <w:rPr>
                          <w:rFonts w:ascii="Franklin Gothic Demi" w:hAnsi="Franklin Gothic Demi"/>
                          <w:bCs/>
                        </w:rPr>
                        <w:t>Skladování:</w:t>
                      </w:r>
                      <w:r w:rsidRPr="002A18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uzavřené balení s</w:t>
                      </w:r>
                      <w:r>
                        <w:t>kladujete na suchém, dobře větraném místě. Otevřené balení spotřebujte během jednoho dne.</w:t>
                      </w:r>
                      <w:r w:rsidRPr="009B5489">
                        <w:rPr>
                          <w:rFonts w:ascii="Franklin Gothic Demi" w:eastAsia="Times New Roman" w:hAnsi="Franklin Gothic Demi" w:cs="Times New Roman"/>
                        </w:rPr>
                        <w:t xml:space="preserve"> </w:t>
                      </w:r>
                    </w:p>
                    <w:p w:rsidR="00D84C2C" w:rsidRPr="000B1756" w:rsidRDefault="00D84C2C" w:rsidP="00D6413E">
                      <w:pPr>
                        <w:pStyle w:val="odstavec"/>
                      </w:pPr>
                      <w:r w:rsidRPr="000B1756">
                        <w:rPr>
                          <w:rFonts w:ascii="Franklin Gothic Demi" w:eastAsia="Times New Roman" w:hAnsi="Franklin Gothic Demi" w:cs="Times New Roman"/>
                        </w:rPr>
                        <w:t>Poradenská služba:</w:t>
                      </w:r>
                      <w:r w:rsidRPr="000B1756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0B1756">
                        <w:t xml:space="preserve">prodejce  </w:t>
                      </w:r>
                      <w:r>
                        <w:t xml:space="preserve">+420 </w:t>
                      </w:r>
                      <w:r w:rsidRPr="000B1756">
                        <w:t>519 346 236/8</w:t>
                      </w:r>
                    </w:p>
                    <w:p w:rsidR="00D84C2C" w:rsidRPr="00D84C2C" w:rsidRDefault="00D84C2C" w:rsidP="00D6413E">
                      <w:pPr>
                        <w:pStyle w:val="odstavec"/>
                        <w:rPr>
                          <w:bCs/>
                          <w:szCs w:val="16"/>
                        </w:rPr>
                      </w:pPr>
                      <w:r w:rsidRPr="00D84C2C">
                        <w:rPr>
                          <w:rFonts w:ascii="Franklin Gothic Demi" w:hAnsi="Franklin Gothic Demi"/>
                          <w:bCs/>
                          <w:szCs w:val="16"/>
                        </w:rPr>
                        <w:t>Balení:</w:t>
                      </w:r>
                      <w:r w:rsidRPr="00D84C2C">
                        <w:rPr>
                          <w:bCs/>
                          <w:szCs w:val="16"/>
                        </w:rPr>
                        <w:t xml:space="preserve">   125 g </w:t>
                      </w:r>
                      <w:r w:rsidRPr="00D84C2C">
                        <w:rPr>
                          <w:bCs/>
                          <w:szCs w:val="16"/>
                        </w:rPr>
                        <w:sym w:font="Symbol" w:char="F0B1"/>
                      </w:r>
                      <w:r w:rsidRPr="00D84C2C">
                        <w:rPr>
                          <w:bCs/>
                          <w:szCs w:val="16"/>
                        </w:rPr>
                        <w:t xml:space="preserve">  5 %</w:t>
                      </w:r>
                    </w:p>
                    <w:p w:rsidR="00D84C2C" w:rsidRPr="00D84C2C" w:rsidRDefault="00D84C2C" w:rsidP="00D6413E">
                      <w:pPr>
                        <w:pStyle w:val="odstavec10"/>
                        <w:tabs>
                          <w:tab w:val="right" w:pos="4990"/>
                        </w:tabs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D84C2C">
                        <w:rPr>
                          <w:rFonts w:ascii="Franklin Gothic Demi" w:eastAsia="Times New Roman" w:hAnsi="Franklin Gothic Demi"/>
                          <w:sz w:val="16"/>
                          <w:szCs w:val="16"/>
                        </w:rPr>
                        <w:t>Spotřebujte do:</w:t>
                      </w:r>
                      <w:r w:rsidRPr="00D84C2C">
                        <w:rPr>
                          <w:rFonts w:eastAsia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z w:val="16"/>
                            <w:szCs w:val="16"/>
                          </w:rPr>
                          <w:alias w:val="Datum"/>
                          <w:tag w:val=""/>
                          <w:id w:val="599532946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D84C2C" w:rsidRDefault="00D84C2C" w:rsidP="00D6413E">
                      <w:pPr>
                        <w:pStyle w:val="odstavec"/>
                        <w:rPr>
                          <w:bCs/>
                        </w:rPr>
                      </w:pPr>
                      <w:r w:rsidRPr="00E74E8B">
                        <w:rPr>
                          <w:rFonts w:ascii="Franklin Gothic Demi" w:hAnsi="Franklin Gothic Demi"/>
                          <w:bCs/>
                        </w:rPr>
                        <w:t>Distributor:</w:t>
                      </w:r>
                      <w:r w:rsidRPr="009C6141">
                        <w:rPr>
                          <w:bCs/>
                        </w:rPr>
                        <w:t xml:space="preserve"> </w:t>
                      </w:r>
                      <w:r>
                        <w:t>BS VINAŘSKÉ POTŘEBY s.r.o.</w:t>
                      </w:r>
                    </w:p>
                    <w:p w:rsidR="00D84C2C" w:rsidRPr="00455AD2" w:rsidRDefault="00D84C2C" w:rsidP="00D6413E">
                      <w:pPr>
                        <w:ind w:left="1560"/>
                        <w:jc w:val="both"/>
                        <w:rPr>
                          <w:sz w:val="13"/>
                          <w:szCs w:val="13"/>
                        </w:rPr>
                      </w:pPr>
                      <w:r w:rsidRPr="004D7095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t>Nebezpečné látky: disiřičitan didraselný. NEBEZPEČÍ.</w:t>
                      </w:r>
                      <w:r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Pr="00BC442B">
                        <w:rPr>
                          <w:rFonts w:ascii="Franklin Gothic Book" w:eastAsia="Times New Roman" w:hAnsi="Franklin Gothic Book" w:cs="Times New Roman"/>
                          <w:bCs/>
                          <w:sz w:val="12"/>
                          <w:szCs w:val="12"/>
                        </w:rPr>
                        <w:t>H318 Způsobuje vážné poškození očí. EUH031 Uvolňuje toxický plyn při styku s kyselinami. P101 Je-li nutná lékařská pomoc, mějte po ruce obal nebo štítek výrobku. P102 Uchovávejte mimo dosah dětí. P280 Používejte ochranné brýle. P305 + P351 + P338 PŘI ZASAŽENÍ OČÍ: Několik minut opatrně vyplachujte vodou. Vyjměte kontaktní čočky, jsou-li nasazeny a pokud je lze vyjmout snadno. Pokračujte ve vyplachování. P310 Okamžitě volejte TOXIKOLOGICKÉ INFORMAČNÍ STŘEDISKO (224 919 293; 224 915 402)/lékaře. P501 Odstraňte obsah odevzdáním ve sběrně nebezpečného odpadu. Prázdný vyčištěný obal odložit do tříděného nebo komunálního odpadu.</w:t>
                      </w:r>
                    </w:p>
                  </w:sdtContent>
                </w:sdt>
                <w:p w:rsidR="00455AD2" w:rsidRPr="00312421" w:rsidRDefault="00455AD2" w:rsidP="00312421"/>
              </w:txbxContent>
            </v:textbox>
            <w10:wrap anchorx="margin" anchory="margin"/>
          </v:shape>
        </w:pict>
      </w:r>
      <w:r>
        <w:rPr>
          <w:noProof/>
        </w:rPr>
        <w:pict>
          <v:shape id="Text Box 2" o:spid="_x0000_s1029" type="#_x0000_t202" style="position:absolute;left:0;text-align:left;margin-left:0;margin-top:0;width:250.85pt;height:311.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Ydg/lJsCAAA/BQAADgAAAAAAAAAAAAAAAAAuAgAAZHJzL2Uyb0Rv&#10;Yy54bWxQSwECLQAUAAYACAAAACEAxqgOqNsAAAAFAQAADwAAAAAAAAAAAAAAAAD1BAAAZHJzL2Rv&#10;d25yZXYueG1sUEsFBgAAAAAEAAQA8wAAAP0FAAAAAA==&#10;" stroked="f" strokecolor="black [3213]" strokeweight=".25pt">
            <v:textbox inset="0,0,0,0">
              <w:txbxContent>
                <w:sdt>
                  <w:sdtPr>
                    <w:id w:val="-153587876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="Franklin Gothic Book" w:hAnsi="Franklin Gothic Book" w:cs="Times New Roman"/>
                      <w:b w:val="0"/>
                      <w:bCs/>
                      <w:iCs w:val="0"/>
                      <w:caps w:val="0"/>
                      <w:spacing w:val="0"/>
                      <w:sz w:val="12"/>
                      <w:szCs w:val="12"/>
                    </w:rPr>
                  </w:sdtEndPr>
                  <w:sdtContent>
                    <w:p w:rsidR="00455AD2" w:rsidRDefault="00455AD2" w:rsidP="006E731A">
                      <w:pPr>
                        <w:pStyle w:val="nadpis"/>
                      </w:pPr>
                      <w:r>
                        <w:t>Effergran</w:t>
                      </w:r>
                    </w:p>
                    <w:p w:rsidR="00455AD2" w:rsidRPr="00E42D5D" w:rsidRDefault="00455AD2" w:rsidP="006E731A">
                      <w:pPr>
                        <w:pStyle w:val="podnadpis"/>
                      </w:pPr>
                      <w:r>
                        <w:t>antioxidant</w:t>
                      </w:r>
                    </w:p>
                    <w:p w:rsidR="00455AD2" w:rsidRDefault="00455AD2" w:rsidP="006E731A">
                      <w:pPr>
                        <w:pStyle w:val="odstavec"/>
                      </w:pPr>
                      <w:r w:rsidRPr="006564BC">
                        <w:rPr>
                          <w:rFonts w:ascii="Franklin Gothic Demi" w:hAnsi="Franklin Gothic Demi"/>
                          <w:bCs/>
                        </w:rPr>
                        <w:t>Vlastnosti:</w:t>
                      </w:r>
                      <w:r w:rsidRPr="00E42D5D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Disiřičitan draselný 75 %, uhličitan draselný 25 %. Granulky s výrazným pachem po SO</w:t>
                      </w:r>
                      <w:r>
                        <w:rPr>
                          <w:rFonts w:eastAsia="Times New Roman" w:cs="Times New Roman"/>
                          <w:vertAlign w:val="subscript"/>
                        </w:rPr>
                        <w:t xml:space="preserve">2.. </w:t>
                      </w:r>
                      <w:r w:rsidRPr="000B4EDF">
                        <w:t xml:space="preserve">Používá se </w:t>
                      </w:r>
                      <w:r>
                        <w:t>k</w:t>
                      </w:r>
                      <w:r w:rsidRPr="000B4EDF">
                        <w:t xml:space="preserve"> ošetření </w:t>
                      </w:r>
                      <w:r w:rsidR="007D2814">
                        <w:t>hroznů při sklizni během transportu</w:t>
                      </w:r>
                      <w:r w:rsidR="00D84C2C">
                        <w:t>, moštů a vína</w:t>
                      </w:r>
                      <w:r w:rsidR="007D2814">
                        <w:t>. Jako prevence proti oxidaci a kontaminaci divokou mikroflórou.</w:t>
                      </w:r>
                      <w:r w:rsidR="000C75F2">
                        <w:t xml:space="preserve"> Určeno pro přímou aplikaci. Množství přidaného uhličitanu draselného je zanedbatelné.</w:t>
                      </w:r>
                    </w:p>
                    <w:p w:rsidR="00D84C2C" w:rsidRDefault="00455AD2" w:rsidP="006E731A">
                      <w:pPr>
                        <w:pStyle w:val="odstavec"/>
                      </w:pPr>
                      <w:r w:rsidRPr="002A1883">
                        <w:rPr>
                          <w:rFonts w:ascii="Franklin Gothic Demi" w:hAnsi="Franklin Gothic Demi"/>
                        </w:rPr>
                        <w:t>Dávkování:</w:t>
                      </w:r>
                    </w:p>
                    <w:p w:rsidR="00D84C2C" w:rsidRDefault="00455AD2" w:rsidP="00D84C2C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10 g EFFERGRANU poskytuje 4 g SO</w:t>
                      </w:r>
                      <w:r w:rsidRPr="00D84C2C">
                        <w:rPr>
                          <w:vertAlign w:val="subscript"/>
                        </w:rPr>
                        <w:t>2</w:t>
                      </w:r>
                      <w:r w:rsidR="00D84C2C" w:rsidRPr="00D84C2C">
                        <w:rPr>
                          <w:vertAlign w:val="subscript"/>
                        </w:rPr>
                        <w:t xml:space="preserve"> </w:t>
                      </w:r>
                      <w:r w:rsidR="00D84C2C">
                        <w:t>/ 1000 l</w:t>
                      </w:r>
                    </w:p>
                    <w:p w:rsidR="00455AD2" w:rsidRDefault="000C75F2" w:rsidP="00D84C2C">
                      <w:pPr>
                        <w:pStyle w:val="odstavec"/>
                        <w:numPr>
                          <w:ilvl w:val="0"/>
                          <w:numId w:val="3"/>
                        </w:numPr>
                        <w:ind w:left="284" w:hanging="153"/>
                      </w:pPr>
                      <w:r>
                        <w:t>125</w:t>
                      </w:r>
                      <w:r w:rsidR="00455AD2">
                        <w:t xml:space="preserve"> g / </w:t>
                      </w:r>
                      <w:r>
                        <w:t>5</w:t>
                      </w:r>
                      <w:r w:rsidR="00455AD2">
                        <w:t>000 kg hroznů</w:t>
                      </w:r>
                    </w:p>
                    <w:p w:rsidR="00455AD2" w:rsidRDefault="00455AD2" w:rsidP="009B5489">
                      <w:pPr>
                        <w:pStyle w:val="odstavec"/>
                        <w:rPr>
                          <w:rFonts w:ascii="Franklin Gothic Demi" w:eastAsia="Times New Roman" w:hAnsi="Franklin Gothic Demi" w:cs="Times New Roman"/>
                        </w:rPr>
                      </w:pPr>
                      <w:r w:rsidRPr="002A1883">
                        <w:rPr>
                          <w:rFonts w:ascii="Franklin Gothic Demi" w:hAnsi="Franklin Gothic Demi"/>
                          <w:bCs/>
                        </w:rPr>
                        <w:t>Skladování:</w:t>
                      </w:r>
                      <w:r w:rsidRPr="002A18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uzavřené balení s</w:t>
                      </w:r>
                      <w:r>
                        <w:t>kladujete na suchém, dobře větraném místě. Otevřené balení spotřebujte během jednoho dne.</w:t>
                      </w:r>
                      <w:r w:rsidRPr="009B5489">
                        <w:rPr>
                          <w:rFonts w:ascii="Franklin Gothic Demi" w:eastAsia="Times New Roman" w:hAnsi="Franklin Gothic Demi" w:cs="Times New Roman"/>
                        </w:rPr>
                        <w:t xml:space="preserve"> </w:t>
                      </w:r>
                    </w:p>
                    <w:p w:rsidR="00455AD2" w:rsidRPr="000B1756" w:rsidRDefault="00455AD2" w:rsidP="009B5489">
                      <w:pPr>
                        <w:pStyle w:val="odstavec"/>
                      </w:pPr>
                      <w:r w:rsidRPr="000B1756">
                        <w:rPr>
                          <w:rFonts w:ascii="Franklin Gothic Demi" w:eastAsia="Times New Roman" w:hAnsi="Franklin Gothic Demi" w:cs="Times New Roman"/>
                        </w:rPr>
                        <w:t>Poradenská služba:</w:t>
                      </w:r>
                      <w:r w:rsidRPr="000B1756"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0B1756">
                        <w:t xml:space="preserve">prodejce  </w:t>
                      </w:r>
                      <w:r w:rsidR="00A07F80">
                        <w:t xml:space="preserve">+420 </w:t>
                      </w:r>
                      <w:r w:rsidRPr="000B1756">
                        <w:t>519 346 236/8</w:t>
                      </w:r>
                    </w:p>
                    <w:p w:rsidR="00455AD2" w:rsidRPr="00D84C2C" w:rsidRDefault="00455AD2" w:rsidP="006E731A">
                      <w:pPr>
                        <w:pStyle w:val="odstavec"/>
                        <w:rPr>
                          <w:bCs/>
                          <w:szCs w:val="16"/>
                        </w:rPr>
                      </w:pPr>
                      <w:r w:rsidRPr="00D84C2C">
                        <w:rPr>
                          <w:rFonts w:ascii="Franklin Gothic Demi" w:hAnsi="Franklin Gothic Demi"/>
                          <w:bCs/>
                          <w:szCs w:val="16"/>
                        </w:rPr>
                        <w:t>Balení:</w:t>
                      </w:r>
                      <w:r w:rsidRPr="00D84C2C">
                        <w:rPr>
                          <w:bCs/>
                          <w:szCs w:val="16"/>
                        </w:rPr>
                        <w:t xml:space="preserve">   </w:t>
                      </w:r>
                      <w:r w:rsidR="00A07F80" w:rsidRPr="00D84C2C">
                        <w:rPr>
                          <w:bCs/>
                          <w:szCs w:val="16"/>
                        </w:rPr>
                        <w:t>125</w:t>
                      </w:r>
                      <w:r w:rsidRPr="00D84C2C">
                        <w:rPr>
                          <w:bCs/>
                          <w:szCs w:val="16"/>
                        </w:rPr>
                        <w:t xml:space="preserve"> g </w:t>
                      </w:r>
                      <w:r w:rsidRPr="00D84C2C">
                        <w:rPr>
                          <w:bCs/>
                          <w:szCs w:val="16"/>
                        </w:rPr>
                        <w:sym w:font="Symbol" w:char="F0B1"/>
                      </w:r>
                      <w:r w:rsidRPr="00D84C2C">
                        <w:rPr>
                          <w:bCs/>
                          <w:szCs w:val="16"/>
                        </w:rPr>
                        <w:t xml:space="preserve">  5 %</w:t>
                      </w:r>
                    </w:p>
                    <w:p w:rsidR="00D84C2C" w:rsidRPr="00D84C2C" w:rsidRDefault="00D84C2C" w:rsidP="00D84C2C">
                      <w:pPr>
                        <w:pStyle w:val="odstavec10"/>
                        <w:tabs>
                          <w:tab w:val="right" w:pos="4990"/>
                        </w:tabs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D84C2C">
                        <w:rPr>
                          <w:rFonts w:ascii="Franklin Gothic Demi" w:eastAsia="Times New Roman" w:hAnsi="Franklin Gothic Demi"/>
                          <w:sz w:val="16"/>
                          <w:szCs w:val="16"/>
                        </w:rPr>
                        <w:t>Spotřebujte do:</w:t>
                      </w:r>
                      <w:r w:rsidRPr="00D84C2C">
                        <w:rPr>
                          <w:rFonts w:eastAsia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/>
                            <w:sz w:val="16"/>
                            <w:szCs w:val="16"/>
                          </w:rPr>
                          <w:alias w:val="Datum"/>
                          <w:tag w:val=""/>
                          <w:id w:val="336274870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455AD2" w:rsidRDefault="00455AD2" w:rsidP="00D84C2C">
                      <w:pPr>
                        <w:pStyle w:val="odstavec"/>
                        <w:rPr>
                          <w:bCs/>
                        </w:rPr>
                      </w:pPr>
                      <w:r w:rsidRPr="00E74E8B">
                        <w:rPr>
                          <w:rFonts w:ascii="Franklin Gothic Demi" w:hAnsi="Franklin Gothic Demi"/>
                          <w:bCs/>
                        </w:rPr>
                        <w:t>Distributor:</w:t>
                      </w:r>
                      <w:r w:rsidRPr="009C6141">
                        <w:rPr>
                          <w:bCs/>
                        </w:rPr>
                        <w:t xml:space="preserve"> </w:t>
                      </w:r>
                      <w:r>
                        <w:t>BS VINAŘSKÉ POTŘEBY s.r.o.</w:t>
                      </w:r>
                    </w:p>
                    <w:p w:rsidR="00455AD2" w:rsidRPr="00455AD2" w:rsidRDefault="004D7095" w:rsidP="004D7095">
                      <w:pPr>
                        <w:ind w:left="1560"/>
                        <w:jc w:val="both"/>
                        <w:rPr>
                          <w:sz w:val="13"/>
                          <w:szCs w:val="13"/>
                        </w:rPr>
                      </w:pPr>
                      <w:r w:rsidRPr="004D7095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="00455AD2"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t>Nebezpečné látky: disiřičitan didraselný. NEBEZPEČÍ.</w:t>
                      </w:r>
                      <w:r w:rsidR="00455AD2" w:rsidRPr="00455AD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="00455AD2" w:rsidRPr="00BC442B">
                        <w:rPr>
                          <w:rFonts w:ascii="Franklin Gothic Book" w:eastAsia="Times New Roman" w:hAnsi="Franklin Gothic Book" w:cs="Times New Roman"/>
                          <w:bCs/>
                          <w:sz w:val="12"/>
                          <w:szCs w:val="12"/>
                        </w:rPr>
                        <w:t>H318 Způsobuje vážné poškození očí. EUH031 Uvolňuje toxický plyn při styku s kyselinami. P101 Je-li nutná lékařská pomoc, mějte po ruce obal nebo štítek výrobku. P102 Uchovávejte mimo dosah dětí. P280 Používejte ochranné brýle. P305 + P351 + P338 PŘI ZASAŽENÍ OČÍ: Několik minut opatrně vyplachujte vodou. Vyjměte kontaktní čočky, jsou-li nasazeny a pokud je lze vyjmout snadno. Pokračujte ve vyplachování. P310 Okamžitě volejte TOXIKOLOGICKÉ INFORMAČNÍ STŘEDISKO (224 919 293; 224 915 402)/lékaře. P501 Odstraňte obsah odevzdáním ve sběrně nebezpečného odpadu. Prázdný vyčištěný obal odložit do tříděného nebo komunálního odpadu.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rtigo Pro">
    <w:altName w:val="Arial"/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D66E5"/>
    <w:multiLevelType w:val="hybridMultilevel"/>
    <w:tmpl w:val="3FF89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1AB6"/>
    <w:multiLevelType w:val="hybridMultilevel"/>
    <w:tmpl w:val="5E4E35E4"/>
    <w:lvl w:ilvl="0" w:tplc="0590B730">
      <w:numFmt w:val="bullet"/>
      <w:lvlText w:val="-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8DA"/>
    <w:multiLevelType w:val="hybridMultilevel"/>
    <w:tmpl w:val="1B7A8EBC"/>
    <w:lvl w:ilvl="0" w:tplc="4998D88C">
      <w:numFmt w:val="bullet"/>
      <w:lvlText w:val="-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FEC"/>
    <w:rsid w:val="000437DC"/>
    <w:rsid w:val="000B1756"/>
    <w:rsid w:val="000C75F2"/>
    <w:rsid w:val="000D5F48"/>
    <w:rsid w:val="001026AD"/>
    <w:rsid w:val="0012175A"/>
    <w:rsid w:val="001350EA"/>
    <w:rsid w:val="00141FA7"/>
    <w:rsid w:val="00157C29"/>
    <w:rsid w:val="00186DBE"/>
    <w:rsid w:val="001B7495"/>
    <w:rsid w:val="002437A8"/>
    <w:rsid w:val="00251921"/>
    <w:rsid w:val="002637D7"/>
    <w:rsid w:val="002709F7"/>
    <w:rsid w:val="002775B4"/>
    <w:rsid w:val="002964DD"/>
    <w:rsid w:val="002A32DB"/>
    <w:rsid w:val="002B385E"/>
    <w:rsid w:val="0031014F"/>
    <w:rsid w:val="00312421"/>
    <w:rsid w:val="003A4AAC"/>
    <w:rsid w:val="003B3383"/>
    <w:rsid w:val="003E403D"/>
    <w:rsid w:val="003F403E"/>
    <w:rsid w:val="0040010F"/>
    <w:rsid w:val="004103BB"/>
    <w:rsid w:val="00452F43"/>
    <w:rsid w:val="00455AD2"/>
    <w:rsid w:val="004A234C"/>
    <w:rsid w:val="004D7095"/>
    <w:rsid w:val="004E1BD7"/>
    <w:rsid w:val="00522706"/>
    <w:rsid w:val="00534ECC"/>
    <w:rsid w:val="00540602"/>
    <w:rsid w:val="0055066C"/>
    <w:rsid w:val="0057408C"/>
    <w:rsid w:val="00574DB7"/>
    <w:rsid w:val="00661880"/>
    <w:rsid w:val="00681F1E"/>
    <w:rsid w:val="00686F14"/>
    <w:rsid w:val="006B3AE5"/>
    <w:rsid w:val="006B53F6"/>
    <w:rsid w:val="006C711D"/>
    <w:rsid w:val="006D267F"/>
    <w:rsid w:val="006D7649"/>
    <w:rsid w:val="006E731A"/>
    <w:rsid w:val="006F6B8E"/>
    <w:rsid w:val="007030BF"/>
    <w:rsid w:val="00715166"/>
    <w:rsid w:val="00757CE9"/>
    <w:rsid w:val="007841E5"/>
    <w:rsid w:val="007A66E2"/>
    <w:rsid w:val="007D2814"/>
    <w:rsid w:val="007E5D41"/>
    <w:rsid w:val="00812B13"/>
    <w:rsid w:val="00817C1F"/>
    <w:rsid w:val="008375DA"/>
    <w:rsid w:val="008A3F29"/>
    <w:rsid w:val="008B2B50"/>
    <w:rsid w:val="008B3106"/>
    <w:rsid w:val="008D6780"/>
    <w:rsid w:val="008E505E"/>
    <w:rsid w:val="00913BD7"/>
    <w:rsid w:val="00934CFE"/>
    <w:rsid w:val="00944C18"/>
    <w:rsid w:val="00956317"/>
    <w:rsid w:val="00961071"/>
    <w:rsid w:val="009730E3"/>
    <w:rsid w:val="009A63DF"/>
    <w:rsid w:val="009B5489"/>
    <w:rsid w:val="009D3EB0"/>
    <w:rsid w:val="009F56AE"/>
    <w:rsid w:val="00A07F80"/>
    <w:rsid w:val="00A564CB"/>
    <w:rsid w:val="00A7112F"/>
    <w:rsid w:val="00A86BD9"/>
    <w:rsid w:val="00AA5BF1"/>
    <w:rsid w:val="00B24A61"/>
    <w:rsid w:val="00B5381B"/>
    <w:rsid w:val="00B61BAD"/>
    <w:rsid w:val="00B82E4A"/>
    <w:rsid w:val="00BC442B"/>
    <w:rsid w:val="00BE60FA"/>
    <w:rsid w:val="00BE668A"/>
    <w:rsid w:val="00C11D43"/>
    <w:rsid w:val="00C237C5"/>
    <w:rsid w:val="00C24419"/>
    <w:rsid w:val="00C428D3"/>
    <w:rsid w:val="00CB6002"/>
    <w:rsid w:val="00CB706B"/>
    <w:rsid w:val="00CE69FD"/>
    <w:rsid w:val="00D16FEC"/>
    <w:rsid w:val="00D178D4"/>
    <w:rsid w:val="00D549F4"/>
    <w:rsid w:val="00D60AE1"/>
    <w:rsid w:val="00D84C2C"/>
    <w:rsid w:val="00D87132"/>
    <w:rsid w:val="00DF1DD0"/>
    <w:rsid w:val="00E13762"/>
    <w:rsid w:val="00E21994"/>
    <w:rsid w:val="00E2301B"/>
    <w:rsid w:val="00E27417"/>
    <w:rsid w:val="00E679F8"/>
    <w:rsid w:val="00EC2C70"/>
    <w:rsid w:val="00ED5435"/>
    <w:rsid w:val="00EE49BF"/>
    <w:rsid w:val="00F35684"/>
    <w:rsid w:val="00F47149"/>
    <w:rsid w:val="00F931E2"/>
    <w:rsid w:val="00F97D41"/>
    <w:rsid w:val="00FA25F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0547C17E"/>
  <w15:docId w15:val="{DC33347D-36D1-4914-9327-9CF1C432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40602"/>
    <w:pPr>
      <w:spacing w:after="8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2775B4"/>
    <w:pPr>
      <w:spacing w:after="0" w:line="240" w:lineRule="auto"/>
    </w:pPr>
    <w:rPr>
      <w:rFonts w:ascii="Fertigo Pro" w:eastAsia="Times New Roman" w:hAnsi="Fertigo Pro"/>
      <w:b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2637D7"/>
    <w:pPr>
      <w:spacing w:after="60"/>
    </w:pPr>
    <w:rPr>
      <w:sz w:val="20"/>
    </w:rPr>
  </w:style>
  <w:style w:type="paragraph" w:customStyle="1" w:styleId="RaSvety">
    <w:name w:val="R a S vety"/>
    <w:basedOn w:val="odstavec"/>
    <w:uiPriority w:val="2"/>
    <w:qFormat/>
    <w:rsid w:val="002637D7"/>
    <w:pPr>
      <w:spacing w:after="40"/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4D7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593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68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68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593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68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68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593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68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68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593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68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68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7AB76810E4973B136269408BBD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D7566-955F-49DD-A0B5-2061AA229417}"/>
      </w:docPartPr>
      <w:docPartBody>
        <w:p w:rsidR="00000000" w:rsidRDefault="008625C1" w:rsidP="008625C1">
          <w:pPr>
            <w:pStyle w:val="42F7AB76810E4973B136269408BBDE39"/>
          </w:pPr>
          <w:r w:rsidRPr="00EF03C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rtigo Pro">
    <w:altName w:val="Arial"/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8C"/>
    <w:rsid w:val="0000398C"/>
    <w:rsid w:val="006F456E"/>
    <w:rsid w:val="008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25C1"/>
    <w:rPr>
      <w:color w:val="808080"/>
    </w:rPr>
  </w:style>
  <w:style w:type="paragraph" w:customStyle="1" w:styleId="1BEDDF5D9882414D977374C69496D129">
    <w:name w:val="1BEDDF5D9882414D977374C69496D129"/>
    <w:rsid w:val="0000398C"/>
  </w:style>
  <w:style w:type="paragraph" w:customStyle="1" w:styleId="3778515005C74127B8BF91BA1FB699A9">
    <w:name w:val="3778515005C74127B8BF91BA1FB699A9"/>
    <w:rsid w:val="0000398C"/>
  </w:style>
  <w:style w:type="paragraph" w:customStyle="1" w:styleId="B514F6BBD1D74182953C67ABD6EEE3C7">
    <w:name w:val="B514F6BBD1D74182953C67ABD6EEE3C7"/>
    <w:rsid w:val="0000398C"/>
  </w:style>
  <w:style w:type="paragraph" w:customStyle="1" w:styleId="970B9B05DE3F4B52AA7082CB068792F5">
    <w:name w:val="970B9B05DE3F4B52AA7082CB068792F5"/>
    <w:rsid w:val="008625C1"/>
  </w:style>
  <w:style w:type="paragraph" w:customStyle="1" w:styleId="42F7AB76810E4973B136269408BBDE39">
    <w:name w:val="42F7AB76810E4973B136269408BBDE39"/>
    <w:rsid w:val="008625C1"/>
  </w:style>
  <w:style w:type="paragraph" w:customStyle="1" w:styleId="31D5337448B148898CFE487C89BA69F5">
    <w:name w:val="31D5337448B148898CFE487C89BA69F5"/>
    <w:rsid w:val="00862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D24DA1-1E92-491D-8E1E-69517F8F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Vít Minařík</cp:lastModifiedBy>
  <cp:revision>4</cp:revision>
  <cp:lastPrinted>2013-01-28T07:41:00Z</cp:lastPrinted>
  <dcterms:created xsi:type="dcterms:W3CDTF">2017-10-20T13:12:00Z</dcterms:created>
  <dcterms:modified xsi:type="dcterms:W3CDTF">2018-01-24T07:36:00Z</dcterms:modified>
</cp:coreProperties>
</file>